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4F0786" w:rsidRDefault="004F0786" w:rsidP="004F0786">
      <w:pPr>
        <w:tabs>
          <w:tab w:val="left" w:pos="14656"/>
        </w:tabs>
        <w:ind w:right="404"/>
        <w:jc w:val="center"/>
        <w:rPr>
          <w:b/>
          <w:color w:val="000000" w:themeColor="text1"/>
          <w:sz w:val="20"/>
          <w:lang w:eastAsia="lt-LT"/>
        </w:rPr>
      </w:pPr>
      <w:r>
        <w:rPr>
          <w:b/>
          <w:bCs/>
          <w:lang w:eastAsia="lt-LT"/>
        </w:rPr>
        <w:t xml:space="preserve">KLAIPĖDOS </w:t>
      </w:r>
      <w:r>
        <w:rPr>
          <w:b/>
          <w:color w:val="000000" w:themeColor="text1"/>
          <w:lang w:eastAsia="lt-LT"/>
        </w:rPr>
        <w:t>TAURALAUKIO PROGIMNAZIJOS</w:t>
      </w:r>
    </w:p>
    <w:p w:rsidR="004F0786" w:rsidRDefault="004F0786" w:rsidP="004F0786">
      <w:pPr>
        <w:tabs>
          <w:tab w:val="left" w:pos="14656"/>
        </w:tabs>
        <w:jc w:val="center"/>
        <w:rPr>
          <w:b/>
          <w:bCs/>
          <w:lang w:eastAsia="lt-LT"/>
        </w:rPr>
      </w:pPr>
      <w:r>
        <w:rPr>
          <w:b/>
          <w:bCs/>
          <w:lang w:eastAsia="lt-LT"/>
        </w:rPr>
        <w:t>2021 METŲ VEIKLOS ATASKAITA</w:t>
      </w:r>
    </w:p>
    <w:p w:rsidR="004F0786" w:rsidRDefault="004F0786" w:rsidP="004F0786">
      <w:pPr>
        <w:jc w:val="center"/>
      </w:pPr>
    </w:p>
    <w:p w:rsidR="004F0786" w:rsidRDefault="004F0786" w:rsidP="004F0786">
      <w:pPr>
        <w:tabs>
          <w:tab w:val="left" w:pos="576"/>
        </w:tabs>
        <w:spacing w:line="252" w:lineRule="auto"/>
        <w:ind w:left="34" w:right="38" w:firstLine="565"/>
        <w:jc w:val="both"/>
      </w:pPr>
      <w:r>
        <w:t>Klaipėdos Tauralaukio progimnazija (toliau – Progimnazija) įgyvendina ikimokyklinio, priešmokyklinio, pradinio ir pagrindinio ugdymo I dalies bei neformaliojo švietimo programas, taiko ekologijos ir aplinkos technologijų ugdymo sampratos elementus. 2021-09-01 duomenimis, Progimnazijoje ugdyti 331 mokiniai (2020 m. – 306), iš jų 36 – ikimokyklinio ugdymo grupėse, 18 – priešmokyklinio ugdymo grupėje, 148 – 1–4 klasėse, 129 mokiniai 5–8 klasėse. Progimnazijoje dirbo 41 pedagogas (32,83 etato) ir 14 nepedagoginių darbuotojų (19,29 etato).</w:t>
      </w:r>
    </w:p>
    <w:p w:rsidR="004F0786" w:rsidRDefault="004F0786" w:rsidP="004F0786">
      <w:pPr>
        <w:tabs>
          <w:tab w:val="left" w:pos="599"/>
        </w:tabs>
        <w:spacing w:line="228" w:lineRule="auto"/>
        <w:ind w:left="32" w:right="38" w:firstLine="567"/>
        <w:jc w:val="both"/>
      </w:pPr>
      <w:r>
        <w:t>Praėjusiais metais Progimnazija veikė, vadovaudamasi 2021–2023 m. strateginiu planu (toliau – Strateginis planas) ir 2021 m. veiklos planu (toliau – Veiklos planas). Progimnazijos bendruomenė 2021 m. išsikėlė šias prioritetines veiklos kryptis: 1) profesinis skaitmeninio raštingumo tobulinimas (gilinimas) naudojant informacines kompiuterines technologijas ir jas integruojant į ugdymo procesą, taikant virtualias ir nuotoliniam mokymui skirtas platformas; 2) mokinių pasiekimų ir veiksmingos švietimo pagalbos įvairių gebėjimų mokiniams (vaikams) teikimo gerinimas, taikant  mokinio (vaiko) pažangos matavimo sistemą; 3) duomenų analize ir įsivertinimu pagrįstos švietimo kokybės užtikrinimas, kuriant savivaldos, socialinės partnerystės ir vadovų lyderystės darną ir siekė tokio strateginio tikslo – teikti kokybišką ugdymą ir pagalbą įvairių gebėjimų mokiniams. Strateginiam tikslui įgyvendinti Strateginiame ir Veiklos planuose buvo iškelti konkretūs veiklos tikslai ir uždaviniai, numatytos pamatuotos priemonės laukiamam rezultatui pasiekti.</w:t>
      </w:r>
    </w:p>
    <w:p w:rsidR="004F0786" w:rsidRDefault="004F0786" w:rsidP="004F0786">
      <w:pPr>
        <w:tabs>
          <w:tab w:val="left" w:pos="599"/>
        </w:tabs>
        <w:spacing w:line="228" w:lineRule="auto"/>
        <w:ind w:left="32" w:right="38" w:firstLine="567"/>
        <w:jc w:val="both"/>
      </w:pPr>
      <w:r>
        <w:t xml:space="preserve">Siekiant Strateginio plano pirmojo tikslo – teikti kokybišką ugdymą ir pagalbą įvairių gebėjimų mokiniams – Progimnazijos veikla buvo orientuota į kokybiško ugdymo užtikrinimą, kiekvieno mokinio asmeninę pažangą bei pagalbą mokiniui. Tikslui pasiekti buvo vykdomi du Veiklos plano uždaviniai: </w:t>
      </w:r>
    </w:p>
    <w:p w:rsidR="004F0786" w:rsidRDefault="004F0786" w:rsidP="004F0786">
      <w:pPr>
        <w:tabs>
          <w:tab w:val="left" w:pos="0"/>
        </w:tabs>
        <w:spacing w:line="252" w:lineRule="auto"/>
        <w:ind w:left="34" w:right="38" w:firstLine="565"/>
        <w:jc w:val="both"/>
      </w:pPr>
      <w:r>
        <w:t xml:space="preserve">– įgyvendinant pirmąjį uždavinį – tobulinti sistemą, užtikrinančią mokinio pažangos stebėseną, kokybišką pagalbos mokiniui teikimą bei organizuoti šiuolaikinius reikalavimus atitinkantį ugdymo procesą, Progimnazijos veikla buvo orientuota į individualios mokinio pažangos ir pasiekimų vertinimo sistemos kūrimą. Sėkmingą uždavinio įgyvendinimą parodo mokinių mokymosi pasiekimai: </w:t>
      </w:r>
      <w:r>
        <w:rPr>
          <w:color w:val="000000" w:themeColor="text1"/>
        </w:rPr>
        <w:t>2021 mokslo metus užbaigė 251 mokinys. Labai gerai mokėsi 79 mokiniai (31 %), gerai – 134 mokiniai (53 %). Labai gerai ir gerai besimokančių mokinių skaičius padidėjo 3 % (2019 m. – 81 %, 2020 m. – 84 %). Pažangiai 2021 mokslo metus užbaigė 100 % mokinių. Bendras 5–8 klasių pažangumo vidurkis lyginant su praėjusiais mokslo metais padidėjo 0,27 balo (nuo 8,52 balo–2020 m. iki 8,79 balo 2021 m. m.). 2021 metais 8 klases baigę mokiniai mokslus tęsė miesto gimnazijose.</w:t>
      </w:r>
      <w:r>
        <w:t xml:space="preserve"> 2021 m. Progimnazijoje buvo įgyvendinta 15 neformaliojo švietimo programų, kuriose ugdėsi 86 % (285) mokinių. 99 mokiniai (39,4 %) lankė gamtosauginio ugdymo, 50 (20 %) – sporto, 48 (19,1 %) – meninio ugdymo, 36 (14,3 %) – etnokultūrinio ugdymo, 38 (15 %) – literatūrinio, 14 (5,5 %) – programavimo būrelius. Mokiniai dalyvavo 232 renginiuose iš jų 13 – tarptautinių (6 prizinės vietos), 82 – respublikinių (10 prizinių vietų), 137 Klaipėdos miesto (9 prizinės vietos) renginiuose. Įgyvendindami eTwinning ir ERASMUS projektus, ugdytiniai patobulino kompiuterinio raštingumo įgūdžius, pažinimo, mokėjimo mokytis, lyderystės kompetencijas, anglų kalbos gebėjimus, įgijo tarptautinio bendravimo ir bendradarbiavimo patirties. </w:t>
      </w:r>
    </w:p>
    <w:p w:rsidR="004F0786" w:rsidRDefault="004F0786" w:rsidP="004F0786">
      <w:pPr>
        <w:tabs>
          <w:tab w:val="left" w:pos="0"/>
        </w:tabs>
        <w:spacing w:line="252" w:lineRule="auto"/>
        <w:ind w:left="34" w:right="38" w:firstLine="565"/>
        <w:jc w:val="both"/>
      </w:pPr>
      <w:r>
        <w:t xml:space="preserve">Progimnazijos metodinė veikla buvo orientuota į efektyvios mokymo(si) pagalbos teikimą stebint individualią mokinio pažangą. 2021-03-31 direktoriaus įsakymu Nr.V1-26 sudaryta darbo grupė parengė „Individualios mokinio pažangos ir pasiekimų vertinimo sistemą“, kurią aptarė pradinio ir pagrindinio ugdymo mokytojų  metodiniuose būreliuose ir </w:t>
      </w:r>
      <w:r>
        <w:rPr>
          <w:color w:val="000000" w:themeColor="text1"/>
        </w:rPr>
        <w:t xml:space="preserve">Mokytojų tarybos posėdyje </w:t>
      </w:r>
      <w:r>
        <w:rPr>
          <w:color w:val="000000" w:themeColor="text1"/>
        </w:rPr>
        <w:lastRenderedPageBreak/>
        <w:t>(patvirtinta 2021-05-14 direktorius įsakymu Nr. V1-44).</w:t>
      </w:r>
      <w:r>
        <w:rPr>
          <w:color w:val="FF0000"/>
        </w:rPr>
        <w:t xml:space="preserve"> </w:t>
      </w:r>
      <w:r>
        <w:t xml:space="preserve">Pažangos ir pasiekimų vertinimo sistema padėjo stebėti ugdymo kokybę, pamatuoti individualią mokinio pažangą, identifikuoti problemas, priimti pagrįstus sprendimus, siekiant mokinių ir Progimnazijos pažangos. </w:t>
      </w:r>
    </w:p>
    <w:p w:rsidR="004F0786" w:rsidRDefault="004F0786" w:rsidP="004F0786">
      <w:pPr>
        <w:tabs>
          <w:tab w:val="left" w:pos="0"/>
        </w:tabs>
        <w:spacing w:line="252" w:lineRule="auto"/>
        <w:ind w:left="34" w:right="38" w:firstLine="565"/>
        <w:jc w:val="both"/>
        <w:rPr>
          <w:color w:val="000000" w:themeColor="text1"/>
        </w:rPr>
      </w:pPr>
      <w:r>
        <w:t xml:space="preserve">2021 m. Progimnazijoje mokėsi 65 mokiniai, kuriems buvo teikiama pagalbos mokiniui specialistų: specialiojo, socialinio pedagogų, logopedo ir psichologo pagalba. 62 iš jų turėjo kalbos ir kalbėjimo sutrikimų (18 iš jų ugdėsi ikimokyklinio ir priešmokyklinio ugdymo grupėse). Iš 14 specialiųjų poreikių turinčių vaikų – </w:t>
      </w:r>
      <w:r>
        <w:rPr>
          <w:color w:val="000000" w:themeColor="text1"/>
        </w:rPr>
        <w:t xml:space="preserve">10 mokinių ir 4 priešmokyklinukai. Pagalba teikta mokiniams, turintiems mokymosi praradimų. 19 mokytojų vedė 495 konsultacijas, kuriose dalyvavo 1–4 klasių mokiniai (po 5 konsultacijas kiekvienam), tai leido pasiekti asmeninės mokinio pažangos. </w:t>
      </w:r>
    </w:p>
    <w:p w:rsidR="004F0786" w:rsidRDefault="004F0786" w:rsidP="004F0786">
      <w:pPr>
        <w:tabs>
          <w:tab w:val="left" w:pos="0"/>
        </w:tabs>
        <w:spacing w:line="252" w:lineRule="auto"/>
        <w:ind w:left="34" w:right="38" w:firstLine="565"/>
        <w:jc w:val="both"/>
      </w:pPr>
      <w:r>
        <w:t xml:space="preserve">Siekdami mokymosi pažangos, visi mokytojai (100 %) stiprino mokinių mokymosi motyvaciją ir ugdomojoje veikloje taikė aktyviąsias mokymo(si) strategijas, (75,93%) projektinę veiklą, (100 %) naudojo informacines kompiuterines technologijas, 30 (73,2 %) ugdymą vykdė netradicinėse erdvėse už Progimnazijos ribų. </w:t>
      </w:r>
    </w:p>
    <w:p w:rsidR="004F0786" w:rsidRDefault="004F0786" w:rsidP="004F0786">
      <w:pPr>
        <w:tabs>
          <w:tab w:val="left" w:pos="0"/>
        </w:tabs>
        <w:spacing w:line="252" w:lineRule="auto"/>
        <w:ind w:left="34" w:right="38" w:firstLine="565"/>
        <w:jc w:val="both"/>
        <w:rPr>
          <w:color w:val="000000" w:themeColor="text1"/>
        </w:rPr>
      </w:pPr>
      <w:r>
        <w:t>2</w:t>
      </w:r>
      <w:r>
        <w:rPr>
          <w:color w:val="000000" w:themeColor="text1"/>
        </w:rPr>
        <w:t>021 m. stebėta 36 pradinio ir pagrindinio ugdymo mokomųjų dalykų, 4 ikimokyklinio bei 2 priešmokyklinio ugdymo grupių ugdomoji veikla, tirtos 7 neformaliojo švietimo veiklos, Vaiko gerovės komisijoje aptartas ir įvertintas individualios pagalbos mokiniui efektyvumas.</w:t>
      </w:r>
    </w:p>
    <w:p w:rsidR="004F0786" w:rsidRDefault="004F0786" w:rsidP="004F0786">
      <w:pPr>
        <w:tabs>
          <w:tab w:val="left" w:pos="0"/>
        </w:tabs>
        <w:spacing w:line="252" w:lineRule="auto"/>
        <w:ind w:left="34" w:right="38" w:firstLine="565"/>
        <w:jc w:val="both"/>
        <w:rPr>
          <w:color w:val="000000" w:themeColor="text1"/>
        </w:rPr>
      </w:pPr>
      <w:r>
        <w:t xml:space="preserve">Žurnale „Reitingai“, įvertinus paskutiniųjų 3 metų 8 klasių akademinius </w:t>
      </w:r>
      <w:r>
        <w:rPr>
          <w:color w:val="000000" w:themeColor="text1"/>
        </w:rPr>
        <w:t>Nacionalinius mokinių pasiekimų patikrinimo rezultatus</w:t>
      </w:r>
      <w:r>
        <w:t xml:space="preserve">, Progimnazija buvo 1 vietoje šalyje („Reitingai“ Nr. 1(15)2021 m. gegužė – gruodis psl. 66), pirmoje vietoje respublikoje tarp progimnazijų, kurių aštuntokai geriausiai išmoksta matematiką </w:t>
      </w:r>
      <w:r>
        <w:rPr>
          <w:color w:val="000000" w:themeColor="text1"/>
        </w:rPr>
        <w:t>(„Reitingai“ Nr. 2 (16) 2021 m. gruodis – 2022 m. gegužė psl. 23).</w:t>
      </w:r>
    </w:p>
    <w:p w:rsidR="004F0786" w:rsidRDefault="004F0786" w:rsidP="004F0786">
      <w:pPr>
        <w:tabs>
          <w:tab w:val="left" w:pos="0"/>
        </w:tabs>
        <w:spacing w:line="252" w:lineRule="auto"/>
        <w:ind w:left="34" w:right="38" w:firstLine="565"/>
        <w:jc w:val="both"/>
      </w:pPr>
      <w:r>
        <w:t xml:space="preserve">Individualios mokinio mokymosi pažangos stebėjimas ir fiksavimas, efektyvi pagalbos mokiniui specialistų veikla ir kokybiškai organizuojamas ugdymo procesas turėjo įtakos Progimnazijos pasiekimams. </w:t>
      </w:r>
    </w:p>
    <w:p w:rsidR="004F0786" w:rsidRDefault="004F0786" w:rsidP="004F0786">
      <w:pPr>
        <w:tabs>
          <w:tab w:val="left" w:pos="0"/>
        </w:tabs>
        <w:spacing w:line="252" w:lineRule="auto"/>
        <w:ind w:left="34" w:right="38" w:firstLine="565"/>
        <w:jc w:val="both"/>
      </w:pPr>
      <w:r>
        <w:rPr>
          <w:color w:val="000000" w:themeColor="text1"/>
        </w:rPr>
        <w:t xml:space="preserve">Įgyvendinant </w:t>
      </w:r>
      <w:r>
        <w:t>antrąjį u</w:t>
      </w:r>
      <w:r>
        <w:rPr>
          <w:color w:val="000000" w:themeColor="text1"/>
        </w:rPr>
        <w:t>ždavinį –</w:t>
      </w:r>
      <w:r>
        <w:t xml:space="preserve"> stiprinti visų grandžių bendradarbiavimą didinant kiekvieno bendruomenės nario pasidalintąją lyderystę –</w:t>
      </w:r>
      <w:r>
        <w:rPr>
          <w:color w:val="000000" w:themeColor="text1"/>
        </w:rPr>
        <w:t xml:space="preserve"> Progimnazijos veikla buvo orientuota į darnų komandos darbą: </w:t>
      </w:r>
      <w:r>
        <w:t xml:space="preserve">aukšta dirbančių pedagogų ir pagalbos mokiniui specialistų kvalifikacija: 3 (8 %) ekspertai, 17 (43 %) metodininkų, 12 (31 %) vyresniųjų mokytojų, 8 (18 %); sistemingai buvo tobulinama kvalifikacija, atsižvelgiant į Progimnazijos prioritetus, tikslus, kvalifikacijos tobulinimo programą, leido pasiekti gerų mokinių mokymosi rezultatų. 2021 metais mokytojai kvalifikaciją kėlė 19 dienų (6 dienomis daugiau lyginant su 2020 m. – 13 dienų). Organizuoti dviejų tipų kvalifikacijos tobulinimo moduliai – skaitmeninio raštingumo įgūdžių tobulinimui: „Koliažų ir vaizdo medžiagos bei įrašų kūrimas, IT panaudojimas projektinėje ir popamokinėje veikloje“, „Skaitmeninės melagienos. Internetinis saugumas. </w:t>
      </w:r>
      <w:r>
        <w:rPr>
          <w:color w:val="000000" w:themeColor="text1"/>
        </w:rPr>
        <w:t>Pedagogai mokėsi kurti pozityvius santykius, aplinką, kurioje visa bendruomenė jaustųsi saugi tiek fiziškai, tiek psichologiškai, vyrautų pagarbūs tarpusavio santykiai, kur veikla grindžiama bendravimu ir bendradarbiavimu, abipuse pagarba, pasitikėjimu, tolerancija ir nuoširdumu dalyvaudami kvalifikacijos kėlimo seminaruose:</w:t>
      </w:r>
      <w:r>
        <w:t xml:space="preserve"> „Šiuolaikinės pamokos elementai naujos kartos vaikams”, „Teigiamas mikroklimatas. Būti darnoje su savimi ir kitais”, „Ugdymo įstaigos bendruomenės sutelktumo didinimas, ugdant socialines emocines kompetencijas, stiprinant darbuotojų asmeninio indėlio vertės pajautimą”. Kvalifikacijos tobulinimo seminaruose pedagogai įgytas žinias pritaikė praktikoje, parengė ir pristatė 28 pranešimus Progimnazijos ir miesto metodiniuose būreliuose, tėvų susirinkimuose dalinosi gerąja patirtimi mieste, užsienyje, dalyvaudami tarptautinėse eTwinning programose ir Erasmus projektuose. 2021-03-21 Progimnazijai suteiktas eTwinning mokyklos vardas, ji apdovanota „eTwinning“ kokybės ženkleliu bei vėliava 2021–2022 mokslo metams. Už kokybišką projektų parengimą ir įgyvendinimą 2 mokytojos apdovanotos Nacionaliniais ir 1 mokytoja – Europos kokybės ženkleliu. Informacija pateikiama Progimnazijos interneto svetainėje (</w:t>
      </w:r>
      <w:hyperlink r:id="rId6" w:history="1">
        <w:r>
          <w:rPr>
            <w:rStyle w:val="Hipersaitas"/>
          </w:rPr>
          <w:t>www.tauralaukiomokykla.lt</w:t>
        </w:r>
      </w:hyperlink>
      <w:r>
        <w:rPr>
          <w:rStyle w:val="Hipersaitas"/>
        </w:rPr>
        <w:t>).</w:t>
      </w:r>
    </w:p>
    <w:p w:rsidR="004F0786" w:rsidRDefault="004F0786" w:rsidP="004F0786">
      <w:pPr>
        <w:tabs>
          <w:tab w:val="left" w:pos="0"/>
          <w:tab w:val="left" w:pos="851"/>
        </w:tabs>
        <w:spacing w:line="252" w:lineRule="auto"/>
        <w:ind w:left="34" w:right="38"/>
        <w:jc w:val="both"/>
        <w:rPr>
          <w:color w:val="000000" w:themeColor="text1"/>
        </w:rPr>
      </w:pPr>
      <w:r>
        <w:rPr>
          <w:lang w:val="en-US"/>
        </w:rPr>
        <w:t xml:space="preserve">       </w:t>
      </w:r>
      <w:r>
        <w:t xml:space="preserve">2021-05-28 Progimnazija laimėjo eTwinning projektą „Tobulėjame kartu su eTwinning” gavo 10 000 Eur mokytojų ir pagalbos mokiniui specialistų kvalifikacijos tobulinimui.     Įgyvendinus </w:t>
      </w:r>
      <w:r>
        <w:lastRenderedPageBreak/>
        <w:t>projektą, pagerėjo mokytojų komandinio darbo, lyderystės, skaitmeninio raštingumo kompetencijos.</w:t>
      </w:r>
      <w:r>
        <w:rPr>
          <w:color w:val="000000" w:themeColor="text1"/>
        </w:rPr>
        <w:t xml:space="preserve"> 2021-01-28 Progimnazija organizavo nuotolinę tarptautinę konferenciją „Jūros lobiai” </w:t>
      </w:r>
      <w:r>
        <w:t>2021-09-30 – respublikinę konferenciją „Tobulėjame kartu su „eTwinning“ programa“, kurių metu dalijosi sukaupta gerąja patirtimi, vykdė sklaidą. 67,7 % mokytojų dalyvavo projektų įgyvendinime.</w:t>
      </w:r>
    </w:p>
    <w:p w:rsidR="004F0786" w:rsidRDefault="004F0786" w:rsidP="004F0786">
      <w:pPr>
        <w:tabs>
          <w:tab w:val="left" w:pos="851"/>
        </w:tabs>
        <w:spacing w:line="276" w:lineRule="auto"/>
        <w:ind w:left="34" w:right="38"/>
        <w:jc w:val="both"/>
      </w:pPr>
      <w:r>
        <w:rPr>
          <w:shd w:val="clear" w:color="auto" w:fill="FFFFFF"/>
          <w:lang w:val="en-US"/>
        </w:rPr>
        <w:t xml:space="preserve">       </w:t>
      </w:r>
      <w:r>
        <w:rPr>
          <w:shd w:val="clear" w:color="auto" w:fill="FFFFFF"/>
        </w:rPr>
        <w:t xml:space="preserve">Siekiant </w:t>
      </w:r>
      <w:r>
        <w:rPr>
          <w:rStyle w:val="apple-converted-space"/>
          <w:shd w:val="clear" w:color="auto" w:fill="FFFFFF"/>
        </w:rPr>
        <w:t>aukštesnės mokymo(si) kokybės, pažangos,</w:t>
      </w:r>
      <w:r>
        <w:rPr>
          <w:shd w:val="clear" w:color="auto" w:fill="FFFFFF"/>
        </w:rPr>
        <w:t xml:space="preserve"> mokytojai su mokiniais ir jų tėvais individualių susitikimų metu, atvirų dienų renginiuose aptarė mokymosi pažangą, numatė, būdus mokinio asmeniniam tobulėjimui. </w:t>
      </w:r>
      <w:r>
        <w:t>Organizuoti nuotoliniai tėvų susirinkimai, tėvų, mokinių, mokytojų diskusijos, forumai, susitikimai su švietimo pagalbos specialistais, nuotolinė mokinių, tėvų, mokytojų teorinė ir praktinė konferencija „Sveikam gyvenimui – tvirtas TAIP”, kurioje pranešimus skaitė ne tik mokiniai, bet ir jų tėvai.</w:t>
      </w:r>
    </w:p>
    <w:p w:rsidR="004F0786" w:rsidRDefault="004F0786" w:rsidP="004F0786">
      <w:pPr>
        <w:ind w:firstLine="709"/>
        <w:jc w:val="both"/>
      </w:pPr>
      <w:r>
        <w:rPr>
          <w:lang w:val="en-US"/>
        </w:rPr>
        <w:t xml:space="preserve">       </w:t>
      </w:r>
      <w:r>
        <w:t>Įgyvendindama strateginio plano tikslą – turtinti ir atnaujinti materialinę bazę – Progimnazija kūrė ir plėtojo edukacines erdves, atnaujino patalpas, įsigijo šiuolaikinių ugdymo(si) priemonių. Tikslui pasiekti išsikeltas uždavinys – kurti šiuolaikinę, mokymąsi skatinančią aplinką. Per 2021 metus Progimnazija įsigijo 428 egz. vadovėlių (4516 Eur), 70 mokymo priemonių (1524 Eur), 12 interaktyvių ekranų (50299 Eur). Visose 14 Progimnazijos klasių įrengti interaktyvūs ekranai sudaro galimybę sergantiems arba esantiems izoliacijoje mokiniams teikti kokybišką hibridinį mokymą. Progimnazija įrengė naują informacinių technologijų kabinetą, nupirko 18 nešiojamų kompiuterių (9232 Eur), tinklo įrangą (415 Eur), 4 kameras (1700 Eur), 3 spausdintuvus (617 Eur), atnaujino priešmokyklinio ugdymo grupės edukacinę erdvę, nupirko baldus vaikams (1312 Eur). Ugdymo aplinkos turtinimo planas įvykdytas, sistemingai kuriama šiuolaikinė, mokymąsi skatinanti aplinka, lėšos panaudotos racionaliai, taupiai, sprendimai dėl jų panaudojimo derinti su savivaldos institucijomis, bendruomene.</w:t>
      </w:r>
    </w:p>
    <w:p w:rsidR="004F0786" w:rsidRDefault="004F0786" w:rsidP="004F0786">
      <w:pPr>
        <w:ind w:firstLine="709"/>
        <w:jc w:val="both"/>
      </w:pPr>
      <w:r>
        <w:t xml:space="preserve">    2021 m.  Progimnazijos finansinė situacija buvo tokia:</w:t>
      </w:r>
    </w:p>
    <w:tbl>
      <w:tblPr>
        <w:tblStyle w:val="Lentelstinklelis"/>
        <w:tblW w:w="0" w:type="auto"/>
        <w:tblInd w:w="108" w:type="dxa"/>
        <w:tblLook w:val="04A0" w:firstRow="1" w:lastRow="0" w:firstColumn="1" w:lastColumn="0" w:noHBand="0" w:noVBand="1"/>
      </w:tblPr>
      <w:tblGrid>
        <w:gridCol w:w="1971"/>
        <w:gridCol w:w="1470"/>
        <w:gridCol w:w="1236"/>
        <w:gridCol w:w="1283"/>
        <w:gridCol w:w="3786"/>
      </w:tblGrid>
      <w:tr w:rsidR="004F0786" w:rsidTr="004F0786">
        <w:trPr>
          <w:tblHeader/>
        </w:trPr>
        <w:tc>
          <w:tcPr>
            <w:tcW w:w="1971" w:type="dxa"/>
            <w:vMerge w:val="restart"/>
            <w:tcBorders>
              <w:top w:val="single" w:sz="4" w:space="0" w:color="auto"/>
              <w:left w:val="single" w:sz="4" w:space="0" w:color="auto"/>
              <w:bottom w:val="single" w:sz="4" w:space="0" w:color="auto"/>
              <w:right w:val="single" w:sz="4" w:space="0" w:color="auto"/>
            </w:tcBorders>
            <w:hideMark/>
          </w:tcPr>
          <w:p w:rsidR="004F0786" w:rsidRDefault="004F0786">
            <w:pPr>
              <w:jc w:val="both"/>
            </w:pPr>
            <w:r>
              <w:t>Finansavimo šaltinis</w:t>
            </w:r>
          </w:p>
        </w:tc>
        <w:tc>
          <w:tcPr>
            <w:tcW w:w="3989" w:type="dxa"/>
            <w:gridSpan w:val="3"/>
            <w:tcBorders>
              <w:top w:val="single" w:sz="4" w:space="0" w:color="auto"/>
              <w:left w:val="single" w:sz="4" w:space="0" w:color="auto"/>
              <w:bottom w:val="single" w:sz="4" w:space="0" w:color="auto"/>
              <w:right w:val="single" w:sz="4" w:space="0" w:color="auto"/>
            </w:tcBorders>
            <w:hideMark/>
          </w:tcPr>
          <w:p w:rsidR="004F0786" w:rsidRDefault="004F0786">
            <w:pPr>
              <w:jc w:val="center"/>
            </w:pPr>
            <w:r>
              <w:t>Lėšos (tūkst. Eur)</w:t>
            </w:r>
          </w:p>
        </w:tc>
        <w:tc>
          <w:tcPr>
            <w:tcW w:w="3786" w:type="dxa"/>
            <w:vMerge w:val="restart"/>
            <w:tcBorders>
              <w:top w:val="single" w:sz="4" w:space="0" w:color="auto"/>
              <w:left w:val="single" w:sz="4" w:space="0" w:color="auto"/>
              <w:bottom w:val="single" w:sz="4" w:space="0" w:color="auto"/>
              <w:right w:val="single" w:sz="4" w:space="0" w:color="auto"/>
            </w:tcBorders>
          </w:tcPr>
          <w:p w:rsidR="004F0786" w:rsidRDefault="004F0786">
            <w:pPr>
              <w:jc w:val="both"/>
            </w:pPr>
            <w:r>
              <w:t>Pastabos</w:t>
            </w:r>
          </w:p>
          <w:p w:rsidR="004F0786" w:rsidRDefault="004F0786">
            <w:pPr>
              <w:jc w:val="both"/>
            </w:pPr>
          </w:p>
        </w:tc>
      </w:tr>
      <w:tr w:rsidR="004F0786" w:rsidTr="004F0786">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0786" w:rsidRDefault="004F0786"/>
        </w:tc>
        <w:tc>
          <w:tcPr>
            <w:tcW w:w="1470" w:type="dxa"/>
            <w:tcBorders>
              <w:top w:val="single" w:sz="4" w:space="0" w:color="auto"/>
              <w:left w:val="single" w:sz="4" w:space="0" w:color="auto"/>
              <w:bottom w:val="single" w:sz="4" w:space="0" w:color="auto"/>
              <w:right w:val="single" w:sz="4" w:space="0" w:color="auto"/>
            </w:tcBorders>
            <w:hideMark/>
          </w:tcPr>
          <w:p w:rsidR="004F0786" w:rsidRDefault="004F0786">
            <w:pPr>
              <w:jc w:val="both"/>
            </w:pPr>
            <w:r>
              <w:t>Planas (patikslintas)</w:t>
            </w:r>
          </w:p>
        </w:tc>
        <w:tc>
          <w:tcPr>
            <w:tcW w:w="1236" w:type="dxa"/>
            <w:tcBorders>
              <w:top w:val="single" w:sz="4" w:space="0" w:color="auto"/>
              <w:left w:val="single" w:sz="4" w:space="0" w:color="auto"/>
              <w:bottom w:val="single" w:sz="4" w:space="0" w:color="auto"/>
              <w:right w:val="single" w:sz="4" w:space="0" w:color="auto"/>
            </w:tcBorders>
            <w:hideMark/>
          </w:tcPr>
          <w:p w:rsidR="004F0786" w:rsidRDefault="004F0786">
            <w:pPr>
              <w:jc w:val="both"/>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4F0786" w:rsidRDefault="004F0786">
            <w:pPr>
              <w:jc w:val="both"/>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0786" w:rsidRDefault="004F0786"/>
        </w:tc>
      </w:tr>
      <w:tr w:rsidR="004F0786" w:rsidTr="004F0786">
        <w:trPr>
          <w:trHeight w:val="415"/>
        </w:trPr>
        <w:tc>
          <w:tcPr>
            <w:tcW w:w="1971" w:type="dxa"/>
            <w:tcBorders>
              <w:top w:val="single" w:sz="4" w:space="0" w:color="auto"/>
              <w:left w:val="single" w:sz="4" w:space="0" w:color="auto"/>
              <w:bottom w:val="single" w:sz="4" w:space="0" w:color="auto"/>
              <w:right w:val="single" w:sz="4" w:space="0" w:color="auto"/>
            </w:tcBorders>
            <w:hideMark/>
          </w:tcPr>
          <w:p w:rsidR="004F0786" w:rsidRDefault="004F0786">
            <w:r>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224100,00</w:t>
            </w:r>
          </w:p>
        </w:tc>
        <w:tc>
          <w:tcPr>
            <w:tcW w:w="1236"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222481,59</w:t>
            </w:r>
          </w:p>
        </w:tc>
        <w:tc>
          <w:tcPr>
            <w:tcW w:w="1283"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99,28</w:t>
            </w:r>
          </w:p>
        </w:tc>
        <w:tc>
          <w:tcPr>
            <w:tcW w:w="3786" w:type="dxa"/>
            <w:tcBorders>
              <w:top w:val="single" w:sz="4" w:space="0" w:color="auto"/>
              <w:left w:val="single" w:sz="4" w:space="0" w:color="auto"/>
              <w:bottom w:val="single" w:sz="4" w:space="0" w:color="auto"/>
              <w:right w:val="single" w:sz="4" w:space="0" w:color="auto"/>
            </w:tcBorders>
          </w:tcPr>
          <w:p w:rsidR="004F0786" w:rsidRDefault="004F0786">
            <w:pPr>
              <w:jc w:val="both"/>
            </w:pPr>
          </w:p>
        </w:tc>
      </w:tr>
      <w:tr w:rsidR="004F0786" w:rsidTr="004F0786">
        <w:tc>
          <w:tcPr>
            <w:tcW w:w="1971" w:type="dxa"/>
            <w:tcBorders>
              <w:top w:val="single" w:sz="4" w:space="0" w:color="auto"/>
              <w:left w:val="single" w:sz="4" w:space="0" w:color="auto"/>
              <w:bottom w:val="single" w:sz="4" w:space="0" w:color="auto"/>
              <w:right w:val="single" w:sz="4" w:space="0" w:color="auto"/>
            </w:tcBorders>
            <w:hideMark/>
          </w:tcPr>
          <w:p w:rsidR="004F0786" w:rsidRDefault="004F0786">
            <w:r>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606982,00</w:t>
            </w:r>
          </w:p>
        </w:tc>
        <w:tc>
          <w:tcPr>
            <w:tcW w:w="1236"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597044,86</w:t>
            </w:r>
          </w:p>
        </w:tc>
        <w:tc>
          <w:tcPr>
            <w:tcW w:w="1283"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98,36</w:t>
            </w:r>
          </w:p>
        </w:tc>
        <w:tc>
          <w:tcPr>
            <w:tcW w:w="3786" w:type="dxa"/>
            <w:tcBorders>
              <w:top w:val="single" w:sz="4" w:space="0" w:color="auto"/>
              <w:left w:val="single" w:sz="4" w:space="0" w:color="auto"/>
              <w:bottom w:val="single" w:sz="4" w:space="0" w:color="auto"/>
              <w:right w:val="single" w:sz="4" w:space="0" w:color="auto"/>
            </w:tcBorders>
          </w:tcPr>
          <w:p w:rsidR="004F0786" w:rsidRDefault="004F0786">
            <w:pPr>
              <w:jc w:val="both"/>
            </w:pPr>
          </w:p>
        </w:tc>
      </w:tr>
      <w:tr w:rsidR="004F0786" w:rsidTr="004F0786">
        <w:tc>
          <w:tcPr>
            <w:tcW w:w="1971" w:type="dxa"/>
            <w:tcBorders>
              <w:top w:val="single" w:sz="4" w:space="0" w:color="auto"/>
              <w:left w:val="single" w:sz="4" w:space="0" w:color="auto"/>
              <w:bottom w:val="single" w:sz="4" w:space="0" w:color="auto"/>
              <w:right w:val="single" w:sz="4" w:space="0" w:color="auto"/>
            </w:tcBorders>
            <w:hideMark/>
          </w:tcPr>
          <w:p w:rsidR="004F0786" w:rsidRDefault="004F0786">
            <w: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58500,00</w:t>
            </w:r>
          </w:p>
        </w:tc>
        <w:tc>
          <w:tcPr>
            <w:tcW w:w="1236"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32624,64</w:t>
            </w:r>
          </w:p>
        </w:tc>
        <w:tc>
          <w:tcPr>
            <w:tcW w:w="1283"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55,76</w:t>
            </w:r>
          </w:p>
        </w:tc>
        <w:tc>
          <w:tcPr>
            <w:tcW w:w="3786" w:type="dxa"/>
            <w:tcBorders>
              <w:top w:val="single" w:sz="4" w:space="0" w:color="auto"/>
              <w:left w:val="single" w:sz="4" w:space="0" w:color="auto"/>
              <w:bottom w:val="single" w:sz="4" w:space="0" w:color="auto"/>
              <w:right w:val="single" w:sz="4" w:space="0" w:color="auto"/>
            </w:tcBorders>
            <w:hideMark/>
          </w:tcPr>
          <w:p w:rsidR="004F0786" w:rsidRDefault="004F0786">
            <w:r>
              <w:t xml:space="preserve">Dėl karantino </w:t>
            </w:r>
            <w:r>
              <w:rPr>
                <w:color w:val="000000" w:themeColor="text1"/>
              </w:rPr>
              <w:t>ir pandeminės situacijos šalyje, nesurinktos planuotos lėšos</w:t>
            </w:r>
          </w:p>
        </w:tc>
      </w:tr>
      <w:tr w:rsidR="004F0786" w:rsidTr="004F0786">
        <w:trPr>
          <w:trHeight w:val="1114"/>
        </w:trPr>
        <w:tc>
          <w:tcPr>
            <w:tcW w:w="1971" w:type="dxa"/>
            <w:tcBorders>
              <w:top w:val="single" w:sz="4" w:space="0" w:color="auto"/>
              <w:left w:val="single" w:sz="4" w:space="0" w:color="auto"/>
              <w:bottom w:val="single" w:sz="4" w:space="0" w:color="auto"/>
              <w:right w:val="single" w:sz="4" w:space="0" w:color="auto"/>
            </w:tcBorders>
            <w:hideMark/>
          </w:tcPr>
          <w:p w:rsidR="004F0786" w:rsidRDefault="004F0786">
            <w:r>
              <w:t>Pajamų išlaidos (SP)</w:t>
            </w:r>
          </w:p>
          <w:p w:rsidR="004F0786" w:rsidRDefault="004F0786">
            <w:pPr>
              <w:rPr>
                <w:color w:val="FF0000"/>
              </w:rPr>
            </w:pPr>
            <w:r>
              <w:t>Projektų finansavimas (ES; VB; SB)</w:t>
            </w:r>
          </w:p>
        </w:tc>
        <w:tc>
          <w:tcPr>
            <w:tcW w:w="1470"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58500,00</w:t>
            </w:r>
          </w:p>
          <w:p w:rsidR="004F0786" w:rsidRDefault="004F0786">
            <w:pPr>
              <w:jc w:val="center"/>
            </w:pPr>
            <w:r>
              <w:t>35951,80</w:t>
            </w:r>
          </w:p>
        </w:tc>
        <w:tc>
          <w:tcPr>
            <w:tcW w:w="1236"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32624,64</w:t>
            </w:r>
          </w:p>
          <w:p w:rsidR="004F0786" w:rsidRDefault="004F0786">
            <w:pPr>
              <w:jc w:val="center"/>
            </w:pPr>
            <w:r>
              <w:t>25275,50</w:t>
            </w:r>
          </w:p>
        </w:tc>
        <w:tc>
          <w:tcPr>
            <w:tcW w:w="1283"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55,76</w:t>
            </w:r>
          </w:p>
          <w:p w:rsidR="004F0786" w:rsidRDefault="004F0786">
            <w:pPr>
              <w:jc w:val="center"/>
            </w:pPr>
            <w:r>
              <w:t>70</w:t>
            </w:r>
          </w:p>
        </w:tc>
        <w:tc>
          <w:tcPr>
            <w:tcW w:w="3786" w:type="dxa"/>
            <w:tcBorders>
              <w:top w:val="single" w:sz="4" w:space="0" w:color="auto"/>
              <w:left w:val="single" w:sz="4" w:space="0" w:color="auto"/>
              <w:bottom w:val="single" w:sz="4" w:space="0" w:color="auto"/>
              <w:right w:val="single" w:sz="4" w:space="0" w:color="auto"/>
            </w:tcBorders>
            <w:hideMark/>
          </w:tcPr>
          <w:p w:rsidR="004F0786" w:rsidRDefault="004F0786">
            <w:r>
              <w:t xml:space="preserve">Dėl karantino ir pandeminės situacijos šalyje nebuvo įgyvendintos 3 projektuose numatytos kelionės </w:t>
            </w:r>
          </w:p>
        </w:tc>
      </w:tr>
      <w:tr w:rsidR="004F0786" w:rsidTr="004F0786">
        <w:tc>
          <w:tcPr>
            <w:tcW w:w="1971" w:type="dxa"/>
            <w:tcBorders>
              <w:top w:val="single" w:sz="4" w:space="0" w:color="auto"/>
              <w:left w:val="single" w:sz="4" w:space="0" w:color="auto"/>
              <w:bottom w:val="single" w:sz="4" w:space="0" w:color="auto"/>
              <w:right w:val="single" w:sz="4" w:space="0" w:color="auto"/>
            </w:tcBorders>
            <w:hideMark/>
          </w:tcPr>
          <w:p w:rsidR="004F0786" w:rsidRDefault="004F0786">
            <w:r>
              <w:t>Kitos lėšos (parama 1,2 % GM ir kt.)</w:t>
            </w:r>
          </w:p>
        </w:tc>
        <w:tc>
          <w:tcPr>
            <w:tcW w:w="1470"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7082,16</w:t>
            </w:r>
          </w:p>
        </w:tc>
        <w:tc>
          <w:tcPr>
            <w:tcW w:w="1236"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3183,93</w:t>
            </w:r>
          </w:p>
        </w:tc>
        <w:tc>
          <w:tcPr>
            <w:tcW w:w="1283"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44,96</w:t>
            </w:r>
          </w:p>
        </w:tc>
        <w:tc>
          <w:tcPr>
            <w:tcW w:w="3786" w:type="dxa"/>
            <w:tcBorders>
              <w:top w:val="single" w:sz="4" w:space="0" w:color="auto"/>
              <w:left w:val="single" w:sz="4" w:space="0" w:color="auto"/>
              <w:bottom w:val="single" w:sz="4" w:space="0" w:color="auto"/>
              <w:right w:val="single" w:sz="4" w:space="0" w:color="auto"/>
            </w:tcBorders>
            <w:hideMark/>
          </w:tcPr>
          <w:p w:rsidR="004F0786" w:rsidRDefault="004F0786">
            <w:r>
              <w:t>Planuojama bibliotekoje įrengti kompiuterizuotas darbo vietas</w:t>
            </w:r>
          </w:p>
        </w:tc>
      </w:tr>
      <w:tr w:rsidR="004F0786" w:rsidTr="004F0786">
        <w:trPr>
          <w:trHeight w:val="152"/>
        </w:trPr>
        <w:tc>
          <w:tcPr>
            <w:tcW w:w="1971" w:type="dxa"/>
            <w:tcBorders>
              <w:top w:val="single" w:sz="4" w:space="0" w:color="auto"/>
              <w:left w:val="single" w:sz="4" w:space="0" w:color="auto"/>
              <w:bottom w:val="single" w:sz="4" w:space="0" w:color="auto"/>
              <w:right w:val="single" w:sz="4" w:space="0" w:color="auto"/>
            </w:tcBorders>
            <w:hideMark/>
          </w:tcPr>
          <w:p w:rsidR="004F0786" w:rsidRDefault="004F0786">
            <w:pPr>
              <w:jc w:val="both"/>
            </w:pPr>
            <w:r>
              <w:t>Iš viso</w:t>
            </w:r>
          </w:p>
        </w:tc>
        <w:tc>
          <w:tcPr>
            <w:tcW w:w="1470"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932615,96</w:t>
            </w:r>
          </w:p>
        </w:tc>
        <w:tc>
          <w:tcPr>
            <w:tcW w:w="1236"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880610,52</w:t>
            </w:r>
          </w:p>
        </w:tc>
        <w:tc>
          <w:tcPr>
            <w:tcW w:w="1283" w:type="dxa"/>
            <w:tcBorders>
              <w:top w:val="single" w:sz="4" w:space="0" w:color="auto"/>
              <w:left w:val="single" w:sz="4" w:space="0" w:color="auto"/>
              <w:bottom w:val="single" w:sz="4" w:space="0" w:color="auto"/>
              <w:right w:val="single" w:sz="4" w:space="0" w:color="auto"/>
            </w:tcBorders>
            <w:hideMark/>
          </w:tcPr>
          <w:p w:rsidR="004F0786" w:rsidRDefault="004F0786">
            <w:pPr>
              <w:jc w:val="center"/>
            </w:pPr>
            <w:r>
              <w:t>94,42</w:t>
            </w:r>
          </w:p>
        </w:tc>
        <w:tc>
          <w:tcPr>
            <w:tcW w:w="3786" w:type="dxa"/>
            <w:tcBorders>
              <w:top w:val="single" w:sz="4" w:space="0" w:color="auto"/>
              <w:left w:val="single" w:sz="4" w:space="0" w:color="auto"/>
              <w:bottom w:val="single" w:sz="4" w:space="0" w:color="auto"/>
              <w:right w:val="single" w:sz="4" w:space="0" w:color="auto"/>
            </w:tcBorders>
            <w:hideMark/>
          </w:tcPr>
          <w:p w:rsidR="004F0786" w:rsidRDefault="004F0786"/>
        </w:tc>
      </w:tr>
      <w:tr w:rsidR="004F0786" w:rsidTr="004F0786">
        <w:tc>
          <w:tcPr>
            <w:tcW w:w="4677" w:type="dxa"/>
            <w:gridSpan w:val="3"/>
            <w:tcBorders>
              <w:top w:val="single" w:sz="4" w:space="0" w:color="auto"/>
              <w:left w:val="single" w:sz="4" w:space="0" w:color="auto"/>
              <w:bottom w:val="single" w:sz="4" w:space="0" w:color="auto"/>
              <w:right w:val="single" w:sz="4" w:space="0" w:color="auto"/>
            </w:tcBorders>
            <w:hideMark/>
          </w:tcPr>
          <w:p w:rsidR="004F0786" w:rsidRDefault="004F0786">
            <w:pPr>
              <w:jc w:val="both"/>
            </w:pPr>
            <w:r>
              <w:t>Kreditinis įsiskolinimas (pagal visus finansavimo šaltinius) 2022 m. sausio 1 d. 18,72 Eur</w:t>
            </w:r>
          </w:p>
        </w:tc>
        <w:tc>
          <w:tcPr>
            <w:tcW w:w="1283" w:type="dxa"/>
            <w:tcBorders>
              <w:top w:val="single" w:sz="4" w:space="0" w:color="auto"/>
              <w:left w:val="single" w:sz="4" w:space="0" w:color="auto"/>
              <w:bottom w:val="single" w:sz="4" w:space="0" w:color="auto"/>
              <w:right w:val="single" w:sz="4" w:space="0" w:color="auto"/>
            </w:tcBorders>
          </w:tcPr>
          <w:p w:rsidR="004F0786" w:rsidRDefault="004F0786">
            <w:pPr>
              <w:jc w:val="center"/>
            </w:pPr>
          </w:p>
        </w:tc>
        <w:tc>
          <w:tcPr>
            <w:tcW w:w="3786" w:type="dxa"/>
            <w:tcBorders>
              <w:top w:val="single" w:sz="4" w:space="0" w:color="auto"/>
              <w:left w:val="single" w:sz="4" w:space="0" w:color="auto"/>
              <w:bottom w:val="single" w:sz="4" w:space="0" w:color="auto"/>
              <w:right w:val="single" w:sz="4" w:space="0" w:color="auto"/>
            </w:tcBorders>
            <w:hideMark/>
          </w:tcPr>
          <w:p w:rsidR="004F0786" w:rsidRDefault="004F0786">
            <w:pPr>
              <w:jc w:val="both"/>
            </w:pPr>
            <w:r>
              <w:t>Kreditorinis įsiskolinimas iš SB lėšų ryšių paslaugoms įsigyti straipsnio, nes už Telia telefono ryšių paslaugas sąskaita buvo pateikta vėliau</w:t>
            </w:r>
          </w:p>
        </w:tc>
      </w:tr>
    </w:tbl>
    <w:p w:rsidR="004F0786" w:rsidRDefault="004F0786" w:rsidP="004F0786">
      <w:pPr>
        <w:spacing w:before="240" w:line="276" w:lineRule="auto"/>
        <w:ind w:right="-22" w:firstLine="458"/>
        <w:jc w:val="both"/>
      </w:pPr>
      <w:r>
        <w:t xml:space="preserve">Progimnazijoje 2021 m. patikrinimų nevyko. </w:t>
      </w:r>
    </w:p>
    <w:p w:rsidR="004F0786" w:rsidRDefault="004F0786" w:rsidP="004F0786">
      <w:pPr>
        <w:spacing w:line="252" w:lineRule="auto"/>
        <w:ind w:right="-22" w:firstLine="458"/>
        <w:jc w:val="both"/>
      </w:pPr>
      <w:r>
        <w:t>2021 m. Progimnazijoje neišspręstas patalpų trūkumas.</w:t>
      </w:r>
    </w:p>
    <w:p w:rsidR="004F0786" w:rsidRDefault="004F0786" w:rsidP="004F0786">
      <w:pPr>
        <w:spacing w:line="252" w:lineRule="auto"/>
        <w:ind w:right="-22" w:firstLine="458"/>
        <w:jc w:val="both"/>
      </w:pPr>
      <w:r>
        <w:lastRenderedPageBreak/>
        <w:t xml:space="preserve">Planuodama 2022 m. veiklą, Progimnazijos bendruomenė susitarė dėl tokių veiklos prioritetų: </w:t>
      </w:r>
      <w:r>
        <w:rPr>
          <w:rFonts w:eastAsia="MS Mincho"/>
          <w:lang w:eastAsia="ja-JP"/>
        </w:rPr>
        <w:t>aukštos švietimo paslaugų kokybės ir prieinamumo užtikrinimo, stiprinant bendruomenės mikroklimatą ir kuriant pozityvią ugdymosi aplinką; mokinio individualios pažangos stebėsenos, atsižvelgiant į mokinių mokymosi poreikius, efektyvinimo; bendruomenės lyderystės skatinimo</w:t>
      </w:r>
    </w:p>
    <w:p w:rsidR="004F0786" w:rsidRDefault="004F0786" w:rsidP="004F0786">
      <w:pPr>
        <w:ind w:firstLine="709"/>
        <w:jc w:val="both"/>
      </w:pPr>
    </w:p>
    <w:p w:rsidR="004F0786" w:rsidRDefault="004F0786" w:rsidP="004F0786">
      <w:pPr>
        <w:ind w:firstLine="709"/>
        <w:jc w:val="both"/>
      </w:pPr>
    </w:p>
    <w:p w:rsidR="004C067A" w:rsidRDefault="004F0786" w:rsidP="004F0786">
      <w:r>
        <w:rPr>
          <w:lang w:eastAsia="lt-LT"/>
        </w:rPr>
        <w:t>Direktorė</w:t>
      </w:r>
      <w:r>
        <w:rPr>
          <w:lang w:eastAsia="lt-LT"/>
        </w:rPr>
        <w:tab/>
      </w:r>
      <w:r>
        <w:rPr>
          <w:lang w:eastAsia="lt-LT"/>
        </w:rPr>
        <w:tab/>
      </w:r>
      <w:r>
        <w:rPr>
          <w:lang w:eastAsia="lt-LT"/>
        </w:rPr>
        <w:tab/>
      </w:r>
      <w:r>
        <w:rPr>
          <w:lang w:eastAsia="lt-LT"/>
        </w:rPr>
        <w:tab/>
      </w:r>
      <w:r>
        <w:rPr>
          <w:lang w:eastAsia="lt-LT"/>
        </w:rPr>
        <w:tab/>
      </w:r>
      <w:r>
        <w:rPr>
          <w:lang w:eastAsia="lt-LT"/>
        </w:rPr>
        <w:tab/>
        <w:t xml:space="preserve">      </w:t>
      </w:r>
      <w:bookmarkStart w:id="2" w:name="_GoBack"/>
      <w:bookmarkEnd w:id="2"/>
      <w:r>
        <w:rPr>
          <w:lang w:eastAsia="lt-LT"/>
        </w:rPr>
        <w:t>Rima Narkienė</w:t>
      </w:r>
    </w:p>
    <w:p w:rsidR="004C067A" w:rsidRDefault="004C067A" w:rsidP="004C067A"/>
    <w:p w:rsidR="004F0786" w:rsidRDefault="004F0786"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F0786">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4F0786"/>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89B3"/>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4F0786"/>
    <w:rPr>
      <w:color w:val="0000FF" w:themeColor="hyperlink"/>
      <w:u w:val="single"/>
    </w:rPr>
  </w:style>
  <w:style w:type="character" w:customStyle="1" w:styleId="apple-converted-space">
    <w:name w:val="apple-converted-space"/>
    <w:rsid w:val="004F0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32042666">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auralaukiomokykl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7578</Words>
  <Characters>4321</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2022-04-29T06:41:00Z</dcterms:modified>
</cp:coreProperties>
</file>